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9306" w14:textId="77777777" w:rsidR="00C2087C" w:rsidRDefault="00C2087C" w:rsidP="00C2087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ANEXĂ 1 - Repere legislative, jurisprudențiale, strategice și bibliografice</w:t>
      </w:r>
    </w:p>
    <w:p w14:paraId="202336E8" w14:textId="77777777" w:rsidR="00C2087C" w:rsidRDefault="00C2087C" w:rsidP="00C2087C">
      <w:pPr>
        <w:spacing w:after="160"/>
        <w:rPr>
          <w:rFonts w:ascii="Times New Roman" w:eastAsia="Times New Roman" w:hAnsi="Times New Roman" w:cs="Times New Roman"/>
          <w:sz w:val="24"/>
          <w:szCs w:val="24"/>
        </w:rPr>
      </w:pPr>
    </w:p>
    <w:p w14:paraId="01FE2C8A" w14:textId="77777777" w:rsidR="00C2087C" w:rsidRDefault="00C2087C" w:rsidP="00C2087C">
      <w:pPr>
        <w:spacing w:after="16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Prezenta anexă reunește principalele acte normative, hotărâri, documente strategice și studii avute în vedere în susținerea observațiilor formulate prin petiție.</w:t>
      </w:r>
    </w:p>
    <w:p w14:paraId="0EFF5DD6" w14:textId="77777777" w:rsidR="00C2087C" w:rsidRDefault="00C2087C" w:rsidP="00C2087C">
      <w:pPr>
        <w:spacing w:after="160"/>
        <w:jc w:val="both"/>
        <w:rPr>
          <w:rFonts w:ascii="Times New Roman" w:eastAsia="Times New Roman" w:hAnsi="Times New Roman" w:cs="Times New Roman"/>
          <w:b/>
          <w:bCs/>
          <w:color w:val="FF0000"/>
          <w:sz w:val="24"/>
          <w:szCs w:val="24"/>
          <w:u w:val="single"/>
        </w:rPr>
      </w:pPr>
      <w:r>
        <w:rPr>
          <w:rFonts w:ascii="Times New Roman" w:eastAsia="Times New Roman" w:hAnsi="Times New Roman" w:cs="Times New Roman"/>
          <w:b/>
          <w:bCs/>
          <w:color w:val="FF0000"/>
          <w:sz w:val="24"/>
          <w:szCs w:val="24"/>
          <w:u w:val="single"/>
        </w:rPr>
        <w:t>I. Legislație națională</w:t>
      </w:r>
    </w:p>
    <w:p w14:paraId="75BF9AF5"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1. Legea locuinței nr. 114/1996</w:t>
      </w:r>
      <w:r>
        <w:rPr>
          <w:rFonts w:ascii="Times New Roman" w:eastAsia="Times New Roman" w:hAnsi="Times New Roman" w:cs="Times New Roman"/>
          <w:sz w:val="24"/>
          <w:szCs w:val="24"/>
        </w:rPr>
        <w:t>, în special art. 42–43 privind accesul și categoriile prioritare pentru locuințele sociale, art. 48 privind situațiile în care o persoană nu poate beneficia de locuință socială și Anexa nr. 1 privind exigențele minimale pentru locuințe.</w:t>
      </w:r>
    </w:p>
    <w:p w14:paraId="52A88D08"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4">
        <w:r>
          <w:rPr>
            <w:rFonts w:ascii="Times New Roman" w:eastAsia="Times New Roman" w:hAnsi="Times New Roman" w:cs="Times New Roman"/>
            <w:color w:val="1155CC"/>
            <w:sz w:val="24"/>
            <w:szCs w:val="24"/>
            <w:u w:val="single"/>
          </w:rPr>
          <w:t>https://legislatie.just.ro/Public/DetaliiDocument/8601</w:t>
        </w:r>
      </w:hyperlink>
      <w:r>
        <w:rPr>
          <w:rFonts w:ascii="Times New Roman" w:eastAsia="Times New Roman" w:hAnsi="Times New Roman" w:cs="Times New Roman"/>
          <w:sz w:val="24"/>
          <w:szCs w:val="24"/>
        </w:rPr>
        <w:t xml:space="preserve"> </w:t>
      </w:r>
    </w:p>
    <w:p w14:paraId="273758A1"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HG nr. 1275/2000 pentru aprobarea Normelor metodologice de aplicare a Legii locuinței nr. 114/1996,</w:t>
      </w:r>
      <w:r>
        <w:rPr>
          <w:rFonts w:ascii="Times New Roman" w:eastAsia="Times New Roman" w:hAnsi="Times New Roman" w:cs="Times New Roman"/>
          <w:sz w:val="24"/>
          <w:szCs w:val="24"/>
        </w:rPr>
        <w:t xml:space="preserve"> în special art. 20–21 privind criteriile de repartizare și ordinea de prioritate. Normele indică între elementele relevante condițiile de locuit, numărul copiilor și al persoanelor din gospodărie, starea de sănătate și vechimea cererii.</w:t>
      </w:r>
    </w:p>
    <w:p w14:paraId="114FE179"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5">
        <w:r>
          <w:rPr>
            <w:rFonts w:ascii="Times New Roman" w:eastAsia="Times New Roman" w:hAnsi="Times New Roman" w:cs="Times New Roman"/>
            <w:color w:val="1155CC"/>
            <w:sz w:val="24"/>
            <w:szCs w:val="24"/>
            <w:u w:val="single"/>
          </w:rPr>
          <w:t>https://legislatie.just.ro/Public/DetaliiDocument/25823</w:t>
        </w:r>
      </w:hyperlink>
      <w:r>
        <w:rPr>
          <w:rFonts w:ascii="Times New Roman" w:eastAsia="Times New Roman" w:hAnsi="Times New Roman" w:cs="Times New Roman"/>
          <w:sz w:val="24"/>
          <w:szCs w:val="24"/>
        </w:rPr>
        <w:t xml:space="preserve"> </w:t>
      </w:r>
    </w:p>
    <w:p w14:paraId="40898F49"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Legea asistenței sociale nr. 292/2011, privind prevenirea și combaterea sărăciei, marginalizării și excluziunii sociale și principiile care guvernează intervenția socială</w:t>
      </w:r>
      <w:r>
        <w:rPr>
          <w:rFonts w:ascii="Times New Roman" w:eastAsia="Times New Roman" w:hAnsi="Times New Roman" w:cs="Times New Roman"/>
          <w:sz w:val="24"/>
          <w:szCs w:val="24"/>
        </w:rPr>
        <w:t>.</w:t>
      </w:r>
    </w:p>
    <w:p w14:paraId="784AC36D"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6">
        <w:r>
          <w:rPr>
            <w:rFonts w:ascii="Times New Roman" w:eastAsia="Times New Roman" w:hAnsi="Times New Roman" w:cs="Times New Roman"/>
            <w:color w:val="1155CC"/>
            <w:sz w:val="24"/>
            <w:szCs w:val="24"/>
            <w:u w:val="single"/>
          </w:rPr>
          <w:t>https://legislatie.just.ro/Public/DetaliiDocument/202845</w:t>
        </w:r>
      </w:hyperlink>
      <w:r>
        <w:rPr>
          <w:rFonts w:ascii="Times New Roman" w:eastAsia="Times New Roman" w:hAnsi="Times New Roman" w:cs="Times New Roman"/>
          <w:sz w:val="24"/>
          <w:szCs w:val="24"/>
        </w:rPr>
        <w:t xml:space="preserve"> </w:t>
      </w:r>
    </w:p>
    <w:p w14:paraId="6738199E"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OG nr. 137/2000 privind prevenirea și sancționarea tuturor formelor de discriminare,</w:t>
      </w:r>
      <w:r>
        <w:rPr>
          <w:rFonts w:ascii="Times New Roman" w:eastAsia="Times New Roman" w:hAnsi="Times New Roman" w:cs="Times New Roman"/>
          <w:sz w:val="24"/>
          <w:szCs w:val="24"/>
        </w:rPr>
        <w:t xml:space="preserve"> relevantă inclusiv în materia discriminării indirecte și a criteriilor aparent neutre care produc un dezavantaj pentru anumite categorii.</w:t>
      </w:r>
    </w:p>
    <w:p w14:paraId="6E3BA753"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7">
        <w:r>
          <w:rPr>
            <w:rFonts w:ascii="Times New Roman" w:eastAsia="Times New Roman" w:hAnsi="Times New Roman" w:cs="Times New Roman"/>
            <w:color w:val="1155CC"/>
            <w:sz w:val="24"/>
            <w:szCs w:val="24"/>
            <w:u w:val="single"/>
          </w:rPr>
          <w:t>https://legislatie.just.ro/Public/DetaliiDocument/228297</w:t>
        </w:r>
      </w:hyperlink>
      <w:r>
        <w:rPr>
          <w:rFonts w:ascii="Times New Roman" w:eastAsia="Times New Roman" w:hAnsi="Times New Roman" w:cs="Times New Roman"/>
          <w:sz w:val="24"/>
          <w:szCs w:val="24"/>
        </w:rPr>
        <w:t xml:space="preserve"> </w:t>
      </w:r>
    </w:p>
    <w:p w14:paraId="018F0EB2"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Legea nr. 151/2019 pentru completarea Legii nr. 350/2001 privind amenajarea teritoriului și urbanismul</w:t>
      </w:r>
      <w:r>
        <w:rPr>
          <w:rFonts w:ascii="Times New Roman" w:eastAsia="Times New Roman" w:hAnsi="Times New Roman" w:cs="Times New Roman"/>
          <w:sz w:val="24"/>
          <w:szCs w:val="24"/>
        </w:rPr>
        <w:t>, care introduce reglementarea așezărilor informale și obligații ale autorităților privind locuirea, consultarea comunităților și identificarea unor soluții în cazul desființării acestora.</w:t>
      </w:r>
    </w:p>
    <w:p w14:paraId="683379BC"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8">
        <w:r>
          <w:rPr>
            <w:rFonts w:ascii="Times New Roman" w:eastAsia="Times New Roman" w:hAnsi="Times New Roman" w:cs="Times New Roman"/>
            <w:color w:val="1155CC"/>
            <w:sz w:val="24"/>
            <w:szCs w:val="24"/>
            <w:u w:val="single"/>
          </w:rPr>
          <w:t>https://legislatie.just.ro/Public/DetaliiDocumentAfis/216610</w:t>
        </w:r>
      </w:hyperlink>
      <w:r>
        <w:rPr>
          <w:rFonts w:ascii="Times New Roman" w:eastAsia="Times New Roman" w:hAnsi="Times New Roman" w:cs="Times New Roman"/>
          <w:sz w:val="24"/>
          <w:szCs w:val="24"/>
        </w:rPr>
        <w:t xml:space="preserve"> </w:t>
      </w:r>
    </w:p>
    <w:p w14:paraId="19D20E8C"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 OUG nr. 41/2016 privind simplificarea procedurilor administrative,</w:t>
      </w:r>
      <w:r>
        <w:rPr>
          <w:rFonts w:ascii="Times New Roman" w:eastAsia="Times New Roman" w:hAnsi="Times New Roman" w:cs="Times New Roman"/>
          <w:sz w:val="24"/>
          <w:szCs w:val="24"/>
        </w:rPr>
        <w:t xml:space="preserve"> astfel cum a fost modificată prin Legea nr. 9/2023, în special art. 2¹ privind documentele emise de instituțiile publice și schimbul de date între autorități.</w:t>
      </w:r>
    </w:p>
    <w:p w14:paraId="2A84C95B"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9">
        <w:r>
          <w:rPr>
            <w:rFonts w:ascii="Times New Roman" w:eastAsia="Times New Roman" w:hAnsi="Times New Roman" w:cs="Times New Roman"/>
            <w:color w:val="1155CC"/>
            <w:sz w:val="24"/>
            <w:szCs w:val="24"/>
            <w:u w:val="single"/>
          </w:rPr>
          <w:t>https://legislatie.just.ro/Public/DetaliiDocument/179586</w:t>
        </w:r>
      </w:hyperlink>
      <w:r>
        <w:rPr>
          <w:rFonts w:ascii="Times New Roman" w:eastAsia="Times New Roman" w:hAnsi="Times New Roman" w:cs="Times New Roman"/>
          <w:sz w:val="24"/>
          <w:szCs w:val="24"/>
        </w:rPr>
        <w:t xml:space="preserve"> </w:t>
      </w:r>
    </w:p>
    <w:p w14:paraId="432D8040"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 OUG nr. 40/1999 privind protecția chiriașilor și stabilirea chiriei pentru spațiile cu destinația de locuințe</w:t>
      </w:r>
      <w:r>
        <w:rPr>
          <w:rFonts w:ascii="Times New Roman" w:eastAsia="Times New Roman" w:hAnsi="Times New Roman" w:cs="Times New Roman"/>
          <w:sz w:val="24"/>
          <w:szCs w:val="24"/>
        </w:rPr>
        <w:t xml:space="preserve"> – Anexa nr. 2, relevantă pentru afecțiunile care justifică necesități locative suplimentare.</w:t>
      </w:r>
    </w:p>
    <w:p w14:paraId="439DE912"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10">
        <w:r>
          <w:rPr>
            <w:rFonts w:ascii="Times New Roman" w:eastAsia="Times New Roman" w:hAnsi="Times New Roman" w:cs="Times New Roman"/>
            <w:color w:val="1155CC"/>
            <w:sz w:val="24"/>
            <w:szCs w:val="24"/>
            <w:u w:val="single"/>
          </w:rPr>
          <w:t>https://legislatie.just.ro/Public/DetaliiDocument/17739</w:t>
        </w:r>
      </w:hyperlink>
      <w:r>
        <w:rPr>
          <w:rFonts w:ascii="Times New Roman" w:eastAsia="Times New Roman" w:hAnsi="Times New Roman" w:cs="Times New Roman"/>
          <w:sz w:val="24"/>
          <w:szCs w:val="24"/>
        </w:rPr>
        <w:t xml:space="preserve"> </w:t>
      </w:r>
    </w:p>
    <w:p w14:paraId="1C033EDE"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8F90A2"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FF0000"/>
          <w:sz w:val="24"/>
          <w:szCs w:val="24"/>
          <w:u w:val="single"/>
        </w:rPr>
        <w:lastRenderedPageBreak/>
        <w:t>II. Jurisprudență relevantă privind criteriile pentru locuințe sociale</w:t>
      </w:r>
      <w:r>
        <w:rPr>
          <w:rFonts w:ascii="Times New Roman" w:eastAsia="Times New Roman" w:hAnsi="Times New Roman" w:cs="Times New Roman"/>
          <w:sz w:val="24"/>
          <w:szCs w:val="24"/>
        </w:rPr>
        <w:t xml:space="preserve"> </w:t>
      </w:r>
    </w:p>
    <w:p w14:paraId="75AC635A" w14:textId="77777777" w:rsidR="00C2087C" w:rsidRDefault="00C2087C" w:rsidP="00C2087C">
      <w:pPr>
        <w:spacing w:after="160"/>
        <w:jc w:val="both"/>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1. Hotărârea CNCD nr. 156 din 11.04.2018 – Focșani</w:t>
      </w:r>
      <w:r>
        <w:rPr>
          <w:rFonts w:ascii="Times New Roman" w:eastAsia="Times New Roman" w:hAnsi="Times New Roman" w:cs="Times New Roman"/>
          <w:sz w:val="24"/>
          <w:szCs w:val="24"/>
        </w:rPr>
        <w:t xml:space="preserve">, dosar nr. 684/2017, privind, între altele, condiționarea accesului la locuință socială de inexistența datoriilor. Potrivit acestei hotărâri </w:t>
      </w:r>
      <w:r>
        <w:rPr>
          <w:rFonts w:ascii="Times New Roman" w:eastAsia="Times New Roman" w:hAnsi="Times New Roman" w:cs="Times New Roman"/>
          <w:b/>
          <w:bCs/>
          <w:i/>
          <w:iCs/>
          <w:sz w:val="24"/>
          <w:szCs w:val="24"/>
        </w:rPr>
        <w:t>„condiționarea acordării locuințelor sociale de existența unor debite restante la bugetul local şi la furnizorii de utilităţi publice din municipiul Focșani reprezintă discriminare conform art. 2 alin. 3 și alin 4 din O.G. nr. 137/2000 (cu unanimitatea membrilor prezenţi la şedinţă)”</w:t>
      </w:r>
    </w:p>
    <w:p w14:paraId="716C5EFD"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11">
        <w:r>
          <w:rPr>
            <w:rFonts w:ascii="Times New Roman" w:eastAsia="Times New Roman" w:hAnsi="Times New Roman" w:cs="Times New Roman"/>
            <w:color w:val="1155CC"/>
            <w:sz w:val="24"/>
            <w:szCs w:val="24"/>
            <w:u w:val="single"/>
          </w:rPr>
          <w:t>https://www.cncd.ro/wp-content/uploads/2020/12/Hotarare-156-18.pdf</w:t>
        </w:r>
      </w:hyperlink>
      <w:r>
        <w:rPr>
          <w:rFonts w:ascii="Times New Roman" w:eastAsia="Times New Roman" w:hAnsi="Times New Roman" w:cs="Times New Roman"/>
          <w:sz w:val="24"/>
          <w:szCs w:val="24"/>
        </w:rPr>
        <w:t xml:space="preserve"> </w:t>
      </w:r>
    </w:p>
    <w:p w14:paraId="6585144E"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Decizia ÎCCJ nr. 1529 din 11.03.2021</w:t>
      </w:r>
      <w:r>
        <w:rPr>
          <w:rFonts w:ascii="Times New Roman" w:eastAsia="Times New Roman" w:hAnsi="Times New Roman" w:cs="Times New Roman"/>
          <w:sz w:val="24"/>
          <w:szCs w:val="24"/>
        </w:rPr>
        <w:t>, pronunțată în litigiul privind criteriul datoriilor instituit la Focșani. Jurisprudența reținută în literatura de specialitate arată că accesul la locuință socială nu poate fi condiționat de executarea unei datorii.</w:t>
      </w:r>
    </w:p>
    <w:p w14:paraId="3D68F30A"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Disponibilă în baza de jurisprudență ÎCCJ la:</w:t>
      </w:r>
    </w:p>
    <w:p w14:paraId="7E40A663" w14:textId="77777777" w:rsidR="00C2087C" w:rsidRDefault="00C2087C" w:rsidP="00C2087C">
      <w:pPr>
        <w:spacing w:after="160"/>
        <w:jc w:val="both"/>
        <w:rPr>
          <w:rFonts w:ascii="Times New Roman" w:eastAsia="Times New Roman" w:hAnsi="Times New Roman" w:cs="Times New Roman"/>
          <w:sz w:val="24"/>
          <w:szCs w:val="24"/>
        </w:rPr>
      </w:pPr>
      <w:hyperlink r:id="rId12">
        <w:r>
          <w:rPr>
            <w:rFonts w:ascii="Times New Roman" w:eastAsia="Times New Roman" w:hAnsi="Times New Roman" w:cs="Times New Roman"/>
            <w:color w:val="1155CC"/>
            <w:sz w:val="24"/>
            <w:szCs w:val="24"/>
            <w:u w:val="single"/>
          </w:rPr>
          <w:t>https://www.scj.ro/1093/Detalii-jurisprudenta?customQuery%5B0%5D.Key=id&amp;customQuery%5B0%5D.Value=178880</w:t>
        </w:r>
      </w:hyperlink>
      <w:r>
        <w:rPr>
          <w:rFonts w:ascii="Times New Roman" w:eastAsia="Times New Roman" w:hAnsi="Times New Roman" w:cs="Times New Roman"/>
          <w:sz w:val="24"/>
          <w:szCs w:val="24"/>
        </w:rPr>
        <w:t xml:space="preserve"> </w:t>
      </w:r>
    </w:p>
    <w:p w14:paraId="113C296A"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Hotărârea CNCD nr. 511/20.07.2016 – Reghin</w:t>
      </w:r>
      <w:r>
        <w:rPr>
          <w:rFonts w:ascii="Times New Roman" w:eastAsia="Times New Roman" w:hAnsi="Times New Roman" w:cs="Times New Roman"/>
          <w:sz w:val="24"/>
          <w:szCs w:val="24"/>
        </w:rPr>
        <w:t>, privind criteriul nivelului de educație în repartizarea locuințelor sociale și discriminarea indirectă produsă prin acesta.</w:t>
      </w:r>
    </w:p>
    <w:p w14:paraId="4C0D8E51"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13">
        <w:r>
          <w:rPr>
            <w:rFonts w:ascii="Times New Roman" w:eastAsia="Times New Roman" w:hAnsi="Times New Roman" w:cs="Times New Roman"/>
            <w:color w:val="1155CC"/>
            <w:sz w:val="24"/>
            <w:szCs w:val="24"/>
            <w:u w:val="single"/>
          </w:rPr>
          <w:t>https://www.cncd.ro/wp-content/uploads/2020/12/hotarare-511-16.pdf</w:t>
        </w:r>
      </w:hyperlink>
      <w:r>
        <w:rPr>
          <w:rFonts w:ascii="Times New Roman" w:eastAsia="Times New Roman" w:hAnsi="Times New Roman" w:cs="Times New Roman"/>
          <w:sz w:val="24"/>
          <w:szCs w:val="24"/>
        </w:rPr>
        <w:t xml:space="preserve"> </w:t>
      </w:r>
    </w:p>
    <w:p w14:paraId="3F1985DA"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Hotărârea CNCD nr. 531/27.09.2017 – Cluj-Napoca</w:t>
      </w:r>
      <w:r>
        <w:rPr>
          <w:rFonts w:ascii="Times New Roman" w:eastAsia="Times New Roman" w:hAnsi="Times New Roman" w:cs="Times New Roman"/>
          <w:sz w:val="24"/>
          <w:szCs w:val="24"/>
        </w:rPr>
        <w:t>, menținută de Curtea de Apel Cluj prin Sentința civilă nr. 86/03.04.2018 (</w:t>
      </w:r>
      <w:r>
        <w:rPr>
          <w:rFonts w:ascii="Times New Roman" w:eastAsia="Times New Roman" w:hAnsi="Times New Roman" w:cs="Times New Roman"/>
          <w:color w:val="212529"/>
          <w:sz w:val="24"/>
          <w:szCs w:val="24"/>
        </w:rPr>
        <w:t>cod RJ dg53eg56</w:t>
      </w:r>
      <w:r>
        <w:rPr>
          <w:rFonts w:ascii="Times New Roman" w:eastAsia="Times New Roman" w:hAnsi="Times New Roman" w:cs="Times New Roman"/>
          <w:sz w:val="24"/>
          <w:szCs w:val="24"/>
        </w:rPr>
        <w:t xml:space="preserve">) și rămasă definitivă prin Decizia ÎCCJ nr. 6273 </w:t>
      </w:r>
      <w:r>
        <w:rPr>
          <w:rFonts w:ascii="Times New Roman" w:eastAsia="Times New Roman" w:hAnsi="Times New Roman" w:cs="Times New Roman"/>
          <w:color w:val="333333"/>
          <w:sz w:val="24"/>
          <w:szCs w:val="24"/>
        </w:rPr>
        <w:t>din data de 25 noiembrie 2020 (</w:t>
      </w:r>
      <w:hyperlink r:id="rId14">
        <w:r>
          <w:rPr>
            <w:rFonts w:ascii="Times New Roman" w:eastAsia="Times New Roman" w:hAnsi="Times New Roman" w:cs="Times New Roman"/>
            <w:color w:val="1155CC"/>
            <w:sz w:val="24"/>
            <w:szCs w:val="24"/>
            <w:u w:val="single"/>
          </w:rPr>
          <w:t>https://www.scj.ro/1093/Detalii-jurisprudenta?customQuery%5B0%5D.Key=id&amp;customQuery%5B0%5D.Value=180407#</w:t>
        </w:r>
      </w:hyperlink>
      <w:r>
        <w:rPr>
          <w:rFonts w:ascii="Times New Roman" w:eastAsia="Times New Roman" w:hAnsi="Times New Roman" w:cs="Times New Roman"/>
          <w:sz w:val="24"/>
          <w:szCs w:val="24"/>
        </w:rPr>
        <w:t xml:space="preserve">) , privind criteriile de educație și dezavantajarea persoanelor cu nivel redus de studii. </w:t>
      </w:r>
    </w:p>
    <w:p w14:paraId="5130E086" w14:textId="77777777" w:rsidR="00C2087C" w:rsidRDefault="00C2087C" w:rsidP="00C2087C">
      <w:p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Hotărârea CNCD: </w:t>
      </w:r>
      <w:hyperlink r:id="rId15">
        <w:r>
          <w:rPr>
            <w:rFonts w:ascii="Times New Roman" w:eastAsia="Times New Roman" w:hAnsi="Times New Roman" w:cs="Times New Roman"/>
            <w:color w:val="1155CC"/>
            <w:sz w:val="24"/>
            <w:szCs w:val="24"/>
            <w:u w:val="single"/>
          </w:rPr>
          <w:t>https://www.cncd.ro/wp-content/uploads/2020/12/hotarare-531-17.pdf</w:t>
        </w:r>
      </w:hyperlink>
      <w:r>
        <w:rPr>
          <w:rFonts w:ascii="Times New Roman" w:eastAsia="Times New Roman" w:hAnsi="Times New Roman" w:cs="Times New Roman"/>
          <w:sz w:val="24"/>
          <w:szCs w:val="24"/>
        </w:rPr>
        <w:t xml:space="preserve"> </w:t>
      </w:r>
    </w:p>
    <w:p w14:paraId="5B2256D6" w14:textId="77777777" w:rsidR="00C2087C" w:rsidRDefault="00C2087C" w:rsidP="00C2087C">
      <w:pPr>
        <w:spacing w:after="160"/>
        <w:jc w:val="both"/>
        <w:rPr>
          <w:rFonts w:ascii="Times New Roman" w:eastAsia="Times New Roman" w:hAnsi="Times New Roman" w:cs="Times New Roman"/>
          <w:b/>
          <w:bCs/>
          <w:color w:val="FF0000"/>
          <w:sz w:val="24"/>
          <w:szCs w:val="24"/>
          <w:u w:val="single"/>
        </w:rPr>
      </w:pPr>
      <w:r>
        <w:rPr>
          <w:rFonts w:ascii="Times New Roman" w:eastAsia="Times New Roman" w:hAnsi="Times New Roman" w:cs="Times New Roman"/>
          <w:b/>
          <w:bCs/>
          <w:color w:val="FF0000"/>
          <w:sz w:val="24"/>
          <w:szCs w:val="24"/>
          <w:u w:val="single"/>
        </w:rPr>
        <w:t xml:space="preserve"> </w:t>
      </w:r>
    </w:p>
    <w:p w14:paraId="4F6A27A2"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FF0000"/>
          <w:sz w:val="24"/>
          <w:szCs w:val="24"/>
          <w:u w:val="single"/>
        </w:rPr>
        <w:t>III. Documente strategice naționale și ale Municipiului București</w:t>
      </w:r>
    </w:p>
    <w:p w14:paraId="367F4E2A"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Strategia Națională a Locuirii pentru perioada 2022–2050</w:t>
      </w:r>
      <w:r>
        <w:rPr>
          <w:rFonts w:ascii="Times New Roman" w:eastAsia="Times New Roman" w:hAnsi="Times New Roman" w:cs="Times New Roman"/>
          <w:sz w:val="24"/>
          <w:szCs w:val="24"/>
        </w:rPr>
        <w:t>, aprobată prin HG nr. 842/2022. Strategia urmărește susținerea locuirii incluzive și îmbunătățirea accesului la locuințe adecvate și accesibile și stabilește direcția creșterii fondului public de locuințe.</w:t>
      </w:r>
    </w:p>
    <w:p w14:paraId="4CE672B4"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Hotărârea: </w:t>
      </w:r>
      <w:hyperlink r:id="rId16">
        <w:r>
          <w:rPr>
            <w:rFonts w:ascii="Times New Roman" w:eastAsia="Times New Roman" w:hAnsi="Times New Roman" w:cs="Times New Roman"/>
            <w:color w:val="1155CC"/>
            <w:sz w:val="24"/>
            <w:szCs w:val="24"/>
            <w:u w:val="single"/>
          </w:rPr>
          <w:t>https://legislatie.just.ro/Public/DetaliiDocument/256917</w:t>
        </w:r>
      </w:hyperlink>
      <w:r>
        <w:rPr>
          <w:rFonts w:ascii="Times New Roman" w:eastAsia="Times New Roman" w:hAnsi="Times New Roman" w:cs="Times New Roman"/>
          <w:sz w:val="24"/>
          <w:szCs w:val="24"/>
        </w:rPr>
        <w:t xml:space="preserve"> </w:t>
      </w:r>
    </w:p>
    <w:p w14:paraId="3FCB4E3D"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TextulStrategiei: </w:t>
      </w:r>
      <w:hyperlink r:id="rId17">
        <w:r>
          <w:rPr>
            <w:rFonts w:ascii="Times New Roman" w:eastAsia="Times New Roman" w:hAnsi="Times New Roman" w:cs="Times New Roman"/>
            <w:color w:val="1155CC"/>
            <w:sz w:val="24"/>
            <w:szCs w:val="24"/>
            <w:u w:val="single"/>
          </w:rPr>
          <w:t>https://legislatie.just.ro/Public/FormaPrintabila/00000G29TM69H17RNW027Q7I5B28805U</w:t>
        </w:r>
      </w:hyperlink>
      <w:r>
        <w:rPr>
          <w:rFonts w:ascii="Times New Roman" w:eastAsia="Times New Roman" w:hAnsi="Times New Roman" w:cs="Times New Roman"/>
          <w:sz w:val="24"/>
          <w:szCs w:val="24"/>
        </w:rPr>
        <w:t xml:space="preserve">  </w:t>
      </w:r>
    </w:p>
    <w:p w14:paraId="758554BF"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Strategia națională privind incluziunea socială a persoanelor fără adăpost pentru perioada 2022–2027</w:t>
      </w:r>
      <w:r>
        <w:rPr>
          <w:rFonts w:ascii="Times New Roman" w:eastAsia="Times New Roman" w:hAnsi="Times New Roman" w:cs="Times New Roman"/>
          <w:sz w:val="24"/>
          <w:szCs w:val="24"/>
        </w:rPr>
        <w:t>, aprobată prin HG nr. 1491/2022. Strategia pune accent pe prevenirea pierderii locuinței, intervenția integrată și mecanismele destinate persoanelor aflate în risc de a deveni fără adăpost.</w:t>
      </w:r>
    </w:p>
    <w:p w14:paraId="17111462"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Disponibilă la: </w:t>
      </w:r>
      <w:hyperlink r:id="rId18">
        <w:r>
          <w:rPr>
            <w:rFonts w:ascii="Times New Roman" w:eastAsia="Times New Roman" w:hAnsi="Times New Roman" w:cs="Times New Roman"/>
            <w:color w:val="1155CC"/>
            <w:sz w:val="24"/>
            <w:szCs w:val="24"/>
            <w:u w:val="single"/>
          </w:rPr>
          <w:t>https://legislatie.just.ro/Public/DetaliiDocument/297064</w:t>
        </w:r>
      </w:hyperlink>
      <w:r>
        <w:rPr>
          <w:rFonts w:ascii="Times New Roman" w:eastAsia="Times New Roman" w:hAnsi="Times New Roman" w:cs="Times New Roman"/>
          <w:sz w:val="24"/>
          <w:szCs w:val="24"/>
        </w:rPr>
        <w:t xml:space="preserve"> </w:t>
      </w:r>
    </w:p>
    <w:p w14:paraId="0547A3C9"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3. Strategia de dezvoltare a serviciilor sociale în Municipiul București pentru perioada 2023–2030</w:t>
      </w:r>
      <w:r>
        <w:rPr>
          <w:rFonts w:ascii="Times New Roman" w:eastAsia="Times New Roman" w:hAnsi="Times New Roman" w:cs="Times New Roman"/>
          <w:sz w:val="24"/>
          <w:szCs w:val="24"/>
        </w:rPr>
        <w:t>, aprobată prin HCGMB nr. 73/2024, și Planul de implementare aferent.</w:t>
      </w:r>
    </w:p>
    <w:p w14:paraId="286301A1"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Disponibile pe pagina DGASMB: </w:t>
      </w:r>
      <w:hyperlink r:id="rId19">
        <w:r>
          <w:rPr>
            <w:rFonts w:ascii="Times New Roman" w:eastAsia="Times New Roman" w:hAnsi="Times New Roman" w:cs="Times New Roman"/>
            <w:color w:val="1155CC"/>
            <w:sz w:val="24"/>
            <w:szCs w:val="24"/>
            <w:u w:val="single"/>
          </w:rPr>
          <w:t>https://www.dgas.ro/despre-noi/strategii-locale/</w:t>
        </w:r>
      </w:hyperlink>
      <w:r>
        <w:rPr>
          <w:rFonts w:ascii="Times New Roman" w:eastAsia="Times New Roman" w:hAnsi="Times New Roman" w:cs="Times New Roman"/>
          <w:sz w:val="24"/>
          <w:szCs w:val="24"/>
        </w:rPr>
        <w:t xml:space="preserve"> </w:t>
      </w:r>
    </w:p>
    <w:p w14:paraId="79424C62"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Planul anual de acțiune privind serviciile sociale administrate și finanțate de CGMB pentru anul 2026</w:t>
      </w:r>
      <w:r>
        <w:rPr>
          <w:rFonts w:ascii="Times New Roman" w:eastAsia="Times New Roman" w:hAnsi="Times New Roman" w:cs="Times New Roman"/>
          <w:sz w:val="24"/>
          <w:szCs w:val="24"/>
        </w:rPr>
        <w:t>, care include obiectivul reducerii cu cel puțin 30% a numărului persoanelor fără adăpost din Capitală până la finalul anului 2028.</w:t>
      </w:r>
    </w:p>
    <w:p w14:paraId="7F795611"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Disponibilla: </w:t>
      </w:r>
      <w:hyperlink r:id="rId20">
        <w:r>
          <w:rPr>
            <w:rFonts w:ascii="Times New Roman" w:eastAsia="Times New Roman" w:hAnsi="Times New Roman" w:cs="Times New Roman"/>
            <w:color w:val="1155CC"/>
            <w:sz w:val="24"/>
            <w:szCs w:val="24"/>
            <w:u w:val="single"/>
          </w:rPr>
          <w:t>https://www.dgas.ro/planul-anual-de-actiune-privind-serviciile-sociale-administrate-si-finantate-de-consiliul-general-al-municipiului-bucuresti-pentru-anul-2026/</w:t>
        </w:r>
      </w:hyperlink>
      <w:r>
        <w:rPr>
          <w:rFonts w:ascii="Times New Roman" w:eastAsia="Times New Roman" w:hAnsi="Times New Roman" w:cs="Times New Roman"/>
          <w:sz w:val="24"/>
          <w:szCs w:val="24"/>
        </w:rPr>
        <w:t xml:space="preserve"> </w:t>
      </w:r>
    </w:p>
    <w:p w14:paraId="6CE7BDCA"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168D2B7"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FF0000"/>
          <w:sz w:val="24"/>
          <w:szCs w:val="24"/>
          <w:u w:val="single"/>
        </w:rPr>
        <w:t>IV. Standarde internaționale privind dreptul la locuire și evacuările</w:t>
      </w:r>
    </w:p>
    <w:p w14:paraId="7D687258"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Pactul internațional privind drepturile economice, sociale și culturale</w:t>
      </w:r>
      <w:r>
        <w:rPr>
          <w:rFonts w:ascii="Times New Roman" w:eastAsia="Times New Roman" w:hAnsi="Times New Roman" w:cs="Times New Roman"/>
          <w:sz w:val="24"/>
          <w:szCs w:val="24"/>
        </w:rPr>
        <w:t xml:space="preserve"> – art. 11 alin. (1), care recunoaște dreptul oricărei persoane la un nivel de trai adecvat, inclusiv la o locuință adecvată.</w:t>
      </w:r>
    </w:p>
    <w:p w14:paraId="2AF79F31"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 la: </w:t>
      </w:r>
      <w:hyperlink r:id="rId21">
        <w:r>
          <w:rPr>
            <w:rFonts w:ascii="Times New Roman" w:eastAsia="Times New Roman" w:hAnsi="Times New Roman" w:cs="Times New Roman"/>
            <w:color w:val="1155CC"/>
            <w:sz w:val="24"/>
            <w:szCs w:val="24"/>
            <w:u w:val="single"/>
          </w:rPr>
          <w:t>https://2covenants.ohchr.org/About-ICESCR.html</w:t>
        </w:r>
      </w:hyperlink>
      <w:r>
        <w:rPr>
          <w:rFonts w:ascii="Times New Roman" w:eastAsia="Times New Roman" w:hAnsi="Times New Roman" w:cs="Times New Roman"/>
          <w:sz w:val="24"/>
          <w:szCs w:val="24"/>
        </w:rPr>
        <w:t xml:space="preserve"> </w:t>
      </w:r>
    </w:p>
    <w:p w14:paraId="78A2F323"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Comitetul ONU pentru Drepturi Economice, Sociale și Culturale – Comentariul General nr. 4 privind dreptul la o locuință adecvată</w:t>
      </w:r>
      <w:r>
        <w:rPr>
          <w:rFonts w:ascii="Times New Roman" w:eastAsia="Times New Roman" w:hAnsi="Times New Roman" w:cs="Times New Roman"/>
          <w:sz w:val="24"/>
          <w:szCs w:val="24"/>
        </w:rPr>
        <w:t>, privind, între altele, securitatea locuirii, accesibilitatea economică și protecția persoanelor dezavantajate.</w:t>
      </w:r>
    </w:p>
    <w:p w14:paraId="1E568BD7"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 la: </w:t>
      </w:r>
      <w:hyperlink r:id="rId22">
        <w:r>
          <w:rPr>
            <w:rFonts w:ascii="Times New Roman" w:eastAsia="Times New Roman" w:hAnsi="Times New Roman" w:cs="Times New Roman"/>
            <w:color w:val="1155CC"/>
            <w:sz w:val="24"/>
            <w:szCs w:val="24"/>
            <w:u w:val="single"/>
          </w:rPr>
          <w:t>https://docstore.ohchr.org/SelfServices/FilesHandler.ashx?enc=Qt4oCT%2FKEZOJcKU6mEBofty6gTl%2B49szF3vPCQJhnKZevAbxjQTfB%2BZDrzCC8S3y7jCovmkMgqOPXuXXt9m%2FkA%3D%3D</w:t>
        </w:r>
      </w:hyperlink>
      <w:r>
        <w:rPr>
          <w:rFonts w:ascii="Times New Roman" w:eastAsia="Times New Roman" w:hAnsi="Times New Roman" w:cs="Times New Roman"/>
          <w:sz w:val="24"/>
          <w:szCs w:val="24"/>
        </w:rPr>
        <w:t xml:space="preserve"> </w:t>
      </w:r>
    </w:p>
    <w:p w14:paraId="793F6FF9"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Comitetul ONU – Comentariul General nr. 7 privind evacuările forțate,</w:t>
      </w:r>
      <w:r>
        <w:rPr>
          <w:rFonts w:ascii="Times New Roman" w:eastAsia="Times New Roman" w:hAnsi="Times New Roman" w:cs="Times New Roman"/>
          <w:sz w:val="24"/>
          <w:szCs w:val="24"/>
        </w:rPr>
        <w:t xml:space="preserve"> care stabilește garanțiile ce trebuie respectate în cazul evacuărilor și standardul potrivit căruia acestea nu trebuie să conducă la lipsa de adăpost sau la agravarea vulnerabilității persoanelor afectate.</w:t>
      </w:r>
    </w:p>
    <w:p w14:paraId="11B79E7E"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 în baza OHCHR la:</w:t>
      </w:r>
    </w:p>
    <w:p w14:paraId="4C480524" w14:textId="77777777" w:rsidR="00C2087C" w:rsidRDefault="00C2087C" w:rsidP="00C2087C">
      <w:pPr>
        <w:spacing w:after="160"/>
        <w:jc w:val="both"/>
        <w:rPr>
          <w:rFonts w:ascii="Times New Roman" w:eastAsia="Times New Roman" w:hAnsi="Times New Roman" w:cs="Times New Roman"/>
          <w:sz w:val="24"/>
          <w:szCs w:val="24"/>
        </w:rPr>
      </w:pPr>
      <w:hyperlink r:id="rId23">
        <w:r>
          <w:rPr>
            <w:rFonts w:ascii="Times New Roman" w:eastAsia="Times New Roman" w:hAnsi="Times New Roman" w:cs="Times New Roman"/>
            <w:color w:val="1155CC"/>
            <w:sz w:val="24"/>
            <w:szCs w:val="24"/>
            <w:u w:val="single"/>
          </w:rPr>
          <w:t>https://tbinternet.ohchr.org/_layouts/15/treatybodyexternal/TBSearch.aspx?DocTypeID=11&amp;Lang=en&amp;TreatyID=9</w:t>
        </w:r>
      </w:hyperlink>
      <w:r>
        <w:rPr>
          <w:rFonts w:ascii="Times New Roman" w:eastAsia="Times New Roman" w:hAnsi="Times New Roman" w:cs="Times New Roman"/>
          <w:sz w:val="24"/>
          <w:szCs w:val="24"/>
        </w:rPr>
        <w:t xml:space="preserve"> </w:t>
      </w:r>
    </w:p>
    <w:p w14:paraId="01FA06DB" w14:textId="77777777" w:rsidR="00C2087C" w:rsidRDefault="00C2087C" w:rsidP="00C2087C">
      <w:pPr>
        <w:spacing w:after="160"/>
        <w:jc w:val="both"/>
        <w:rPr>
          <w:rFonts w:ascii="Times New Roman" w:eastAsia="Times New Roman" w:hAnsi="Times New Roman" w:cs="Times New Roman"/>
          <w:sz w:val="24"/>
          <w:szCs w:val="24"/>
        </w:rPr>
      </w:pPr>
    </w:p>
    <w:p w14:paraId="6FE5ABB0"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FF0000"/>
          <w:sz w:val="24"/>
          <w:szCs w:val="24"/>
          <w:u w:val="single"/>
        </w:rPr>
        <w:t>V. Studii și rapoarte</w:t>
      </w:r>
    </w:p>
    <w:p w14:paraId="58F87E9E"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Centrul de Resurse Juridice,</w:t>
      </w:r>
      <w:r>
        <w:rPr>
          <w:rFonts w:ascii="Times New Roman" w:eastAsia="Times New Roman" w:hAnsi="Times New Roman" w:cs="Times New Roman"/>
          <w:sz w:val="24"/>
          <w:szCs w:val="24"/>
        </w:rPr>
        <w:t xml:space="preserve"> „Identificarea criteriilor discriminatorii în acordarea locuințelor sociale”, 2021. Studiul analizează 133 de hotărâri locale și identifică probleme privind criterii precum studiile, starea civilă, statutul ocupațional și datoriile.</w:t>
      </w:r>
    </w:p>
    <w:p w14:paraId="501E51BC"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 la: </w:t>
      </w:r>
      <w:hyperlink r:id="rId24">
        <w:r>
          <w:rPr>
            <w:rFonts w:ascii="Times New Roman" w:eastAsia="Times New Roman" w:hAnsi="Times New Roman" w:cs="Times New Roman"/>
            <w:color w:val="1155CC"/>
            <w:sz w:val="24"/>
            <w:szCs w:val="24"/>
            <w:u w:val="single"/>
          </w:rPr>
          <w:t>https://www.crj.ro/criterii-discriminatorii-si-locuintele-sociale-studiu/</w:t>
        </w:r>
      </w:hyperlink>
      <w:r>
        <w:rPr>
          <w:rFonts w:ascii="Times New Roman" w:eastAsia="Times New Roman" w:hAnsi="Times New Roman" w:cs="Times New Roman"/>
          <w:sz w:val="24"/>
          <w:szCs w:val="24"/>
        </w:rPr>
        <w:t xml:space="preserve"> </w:t>
      </w:r>
    </w:p>
    <w:p w14:paraId="36326713"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bCs/>
          <w:sz w:val="24"/>
          <w:szCs w:val="24"/>
        </w:rPr>
        <w:t>2. Centrul de Resurse Juridice</w:t>
      </w:r>
      <w:r>
        <w:rPr>
          <w:rFonts w:ascii="Times New Roman" w:eastAsia="Times New Roman" w:hAnsi="Times New Roman" w:cs="Times New Roman"/>
          <w:sz w:val="24"/>
          <w:szCs w:val="24"/>
        </w:rPr>
        <w:t>, „Accesul la locuințe sociale și nediscriminarea”, 2021. Studiul analizează cadrul legal, jurisprudența și efectele criteriilor locale asupra accesului persoanelor vulnerabile la locuințe sociale.</w:t>
      </w:r>
    </w:p>
    <w:p w14:paraId="46A90C35"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 la: </w:t>
      </w:r>
      <w:hyperlink r:id="rId25">
        <w:r>
          <w:rPr>
            <w:rFonts w:ascii="Times New Roman" w:eastAsia="Times New Roman" w:hAnsi="Times New Roman" w:cs="Times New Roman"/>
            <w:color w:val="1155CC"/>
            <w:sz w:val="24"/>
            <w:szCs w:val="24"/>
            <w:u w:val="single"/>
          </w:rPr>
          <w:t>https://www.crj.ro/studiul-accesul-la-locuinte-sociale-si-nediscriminarea/</w:t>
        </w:r>
      </w:hyperlink>
      <w:r>
        <w:rPr>
          <w:rFonts w:ascii="Times New Roman" w:eastAsia="Times New Roman" w:hAnsi="Times New Roman" w:cs="Times New Roman"/>
          <w:sz w:val="24"/>
          <w:szCs w:val="24"/>
        </w:rPr>
        <w:t xml:space="preserve"> </w:t>
      </w:r>
    </w:p>
    <w:p w14:paraId="5E4631F5"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Asociația Quantic și Frontul Comun pentru Dreptul la Locuire,</w:t>
      </w:r>
      <w:r>
        <w:rPr>
          <w:rFonts w:ascii="Times New Roman" w:eastAsia="Times New Roman" w:hAnsi="Times New Roman" w:cs="Times New Roman"/>
          <w:sz w:val="24"/>
          <w:szCs w:val="24"/>
        </w:rPr>
        <w:t xml:space="preserve"> „Raport cu privire la condiționarea beneficiilor de asistență socială”, 2022. Cercetarea națională documentează condiționarea unor prestații, servicii și locuințe sociale de plata datoriilor la bugetul local. Datele reproduse ulterior într-o contribuție către ONU provin dintr-o cercetare realizată în toate cele 319 orașe și municipii și cele șase sectoare ale Bucureștiului, cu 256 de răspunsuri utilizabile.</w:t>
      </w:r>
    </w:p>
    <w:p w14:paraId="45F762A3" w14:textId="77777777" w:rsidR="00C2087C" w:rsidRDefault="00C2087C" w:rsidP="00C2087C">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Disponibil la: </w:t>
      </w:r>
      <w:hyperlink r:id="rId26">
        <w:r>
          <w:rPr>
            <w:rFonts w:ascii="Times New Roman" w:eastAsia="Times New Roman" w:hAnsi="Times New Roman" w:cs="Times New Roman"/>
            <w:color w:val="1155CC"/>
            <w:sz w:val="24"/>
            <w:szCs w:val="24"/>
            <w:u w:val="single"/>
          </w:rPr>
          <w:t>https://frontulcomun.ro/raport-cu-privire-la-conditionarea-beneficiilor-de-asistenta-sociala/</w:t>
        </w:r>
      </w:hyperlink>
      <w:r>
        <w:rPr>
          <w:rFonts w:ascii="Times New Roman" w:eastAsia="Times New Roman" w:hAnsi="Times New Roman" w:cs="Times New Roman"/>
          <w:sz w:val="24"/>
          <w:szCs w:val="24"/>
        </w:rPr>
        <w:t xml:space="preserve"> </w:t>
      </w:r>
    </w:p>
    <w:p w14:paraId="3E8FF0DD" w14:textId="77777777" w:rsidR="00C2087C" w:rsidRDefault="00C2087C" w:rsidP="00C2087C">
      <w:pPr>
        <w:jc w:val="both"/>
        <w:rPr>
          <w:rFonts w:ascii="Times New Roman" w:eastAsia="Times New Roman" w:hAnsi="Times New Roman" w:cs="Times New Roman"/>
          <w:sz w:val="24"/>
          <w:szCs w:val="24"/>
        </w:rPr>
      </w:pPr>
    </w:p>
    <w:p w14:paraId="33182C79" w14:textId="77777777" w:rsidR="00C2087C" w:rsidRDefault="00C2087C" w:rsidP="00C2087C">
      <w:pPr>
        <w:jc w:val="center"/>
        <w:rPr>
          <w:rFonts w:ascii="Times New Roman" w:eastAsia="Times New Roman" w:hAnsi="Times New Roman" w:cs="Times New Roman"/>
          <w:sz w:val="24"/>
          <w:szCs w:val="24"/>
        </w:rPr>
      </w:pPr>
    </w:p>
    <w:p w14:paraId="76418F65" w14:textId="5CBA5CAB" w:rsidR="00C2087C" w:rsidRDefault="00C2087C" w:rsidP="00C2087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C270EB4" w14:textId="77777777" w:rsidR="00C2087C" w:rsidRDefault="00C2087C" w:rsidP="00C2087C">
      <w:pPr>
        <w:rPr>
          <w:rFonts w:ascii="Times New Roman" w:eastAsia="Times New Roman" w:hAnsi="Times New Roman" w:cs="Times New Roman"/>
          <w:sz w:val="24"/>
          <w:szCs w:val="24"/>
        </w:rPr>
      </w:pPr>
    </w:p>
    <w:p w14:paraId="116BE749" w14:textId="77777777" w:rsidR="00C2087C" w:rsidRDefault="00C2087C" w:rsidP="00C2087C">
      <w:pPr>
        <w:rPr>
          <w:rFonts w:ascii="Times New Roman" w:eastAsia="Times New Roman" w:hAnsi="Times New Roman" w:cs="Times New Roman"/>
          <w:sz w:val="24"/>
          <w:szCs w:val="24"/>
        </w:rPr>
      </w:pPr>
    </w:p>
    <w:p w14:paraId="73949177" w14:textId="77777777" w:rsidR="00C2087C" w:rsidRDefault="00C2087C" w:rsidP="00C2087C">
      <w:pPr>
        <w:rPr>
          <w:rFonts w:ascii="Times New Roman" w:eastAsia="Times New Roman" w:hAnsi="Times New Roman" w:cs="Times New Roman"/>
          <w:sz w:val="24"/>
          <w:szCs w:val="24"/>
        </w:rPr>
      </w:pPr>
    </w:p>
    <w:p w14:paraId="792C26B1" w14:textId="77777777" w:rsidR="00C2087C" w:rsidRDefault="00C2087C" w:rsidP="00C2087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ANEXA 2 - Punct de vedere transmis în cadrul procesului de transparență decizională în data de 22.06.2026</w:t>
      </w:r>
    </w:p>
    <w:p w14:paraId="2DD53A48" w14:textId="77777777" w:rsidR="00C2087C" w:rsidRDefault="00C2087C" w:rsidP="00C2087C">
      <w:pPr>
        <w:jc w:val="right"/>
        <w:rPr>
          <w:rFonts w:ascii="Times New Roman" w:eastAsia="Times New Roman" w:hAnsi="Times New Roman" w:cs="Times New Roman"/>
          <w:sz w:val="24"/>
          <w:szCs w:val="24"/>
        </w:rPr>
      </w:pPr>
    </w:p>
    <w:p w14:paraId="682997DF" w14:textId="77777777" w:rsidR="00C2087C" w:rsidRDefault="00C2087C" w:rsidP="00C2087C">
      <w:pP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Stimate domnule Primar,</w:t>
      </w:r>
    </w:p>
    <w:p w14:paraId="1EB43D4D" w14:textId="77777777" w:rsidR="00C2087C" w:rsidRDefault="00C2087C" w:rsidP="00C2087C">
      <w:pPr>
        <w:jc w:val="both"/>
        <w:rPr>
          <w:rFonts w:ascii="Times New Roman" w:eastAsia="Times New Roman" w:hAnsi="Times New Roman" w:cs="Times New Roman"/>
          <w:color w:val="212529"/>
          <w:sz w:val="24"/>
          <w:szCs w:val="24"/>
        </w:rPr>
      </w:pPr>
    </w:p>
    <w:p w14:paraId="03A06D0C"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Vă transmitem aceste observații în calitate de membre și membri ai Frontului Comun pentru Dreptul la Locuire. Începând din 2013, FCDL funcționează ca o platformă de activism pentru dreptul fundamental la o locuință adecvată și demnă, pentru drepturile persoanelor care locuiesc cu chirie și pentru accesul la locuințe sociale. Prin activitatea noastră, am cunoscut direct dificultățile cu care se confruntă persoanele aflate în risc locativ și consecințele lipsei unei politici publice coerente în domeniul locuirii sociale.</w:t>
      </w:r>
    </w:p>
    <w:p w14:paraId="3C841012" w14:textId="77777777" w:rsidR="00C2087C" w:rsidRDefault="00C2087C" w:rsidP="00C2087C">
      <w:pPr>
        <w:jc w:val="both"/>
        <w:rPr>
          <w:rFonts w:ascii="Times New Roman" w:eastAsia="Times New Roman" w:hAnsi="Times New Roman" w:cs="Times New Roman"/>
          <w:color w:val="212529"/>
          <w:sz w:val="24"/>
          <w:szCs w:val="24"/>
        </w:rPr>
      </w:pPr>
    </w:p>
    <w:p w14:paraId="31694A8C"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Vă transmitem observațiile noastre generale cu privire la proiectul de hotărâre privind aprobarea Regulamentului referitor la repartizarea locuințelor sociale, a locuințelor convenabile și a locuințelor de necesitate, precum și la organizarea și funcționarea comisiilor de analiză și repartizare, aflat în procedură de transparență decizională. Considerăm că acest proiect are efecte importante asupra accesului la locuire al persoanelor vulnerabile din Municipiul București și că, în forma actuală, necesită o revizuire substanțială. Unele prevederi introduc noi condiții de acces și sancțiuni administrative. Altele reglementează evacuarea fără niciun fel de alternativă locativă. Aplicarea lor poate agrava excluziunea locativă, în loc să contribuie la prevenirea acesteia.</w:t>
      </w:r>
    </w:p>
    <w:p w14:paraId="2F5DA5B1"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În prezenta adresă formulăm o perspectivă generală asupra principalelor probleme identificate. Vom transmite ulterior și un tabel cu analiza punctuală a articolelor, argumentele juridice și propunerile noastre de modificare.</w:t>
      </w:r>
    </w:p>
    <w:p w14:paraId="36AA400F" w14:textId="77777777" w:rsidR="00C2087C" w:rsidRDefault="00C2087C" w:rsidP="00C2087C">
      <w:pPr>
        <w:ind w:firstLine="720"/>
        <w:jc w:val="both"/>
        <w:rPr>
          <w:rFonts w:ascii="Times New Roman" w:eastAsia="Times New Roman" w:hAnsi="Times New Roman" w:cs="Times New Roman"/>
          <w:color w:val="212529"/>
          <w:sz w:val="24"/>
          <w:szCs w:val="24"/>
        </w:rPr>
      </w:pPr>
    </w:p>
    <w:p w14:paraId="3C68413D"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1. Proiectul nu răspunde realității locuirii sociale din București</w:t>
      </w:r>
    </w:p>
    <w:p w14:paraId="069B8712" w14:textId="77777777" w:rsidR="00C2087C" w:rsidRDefault="00C2087C" w:rsidP="00C2087C">
      <w:pPr>
        <w:jc w:val="both"/>
        <w:rPr>
          <w:rFonts w:ascii="Times New Roman" w:eastAsia="Times New Roman" w:hAnsi="Times New Roman" w:cs="Times New Roman"/>
          <w:color w:val="212529"/>
          <w:sz w:val="24"/>
          <w:szCs w:val="24"/>
        </w:rPr>
      </w:pPr>
    </w:p>
    <w:p w14:paraId="17998313"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Potrivit ultimelor date publicate de PMB, erau înregistrate 5.700 de cereri pentru locuințe sociale, iar totalul raportat la nivelul municipiului era de 6.378, fără datele sectoarelor 1, 2, 4 și 5. În același timp, erau raportate doar 4 locuințe sociale libere, iar potrivit HCGMB nr. 284/2025, pe lista de priorități figurează numai 139 de dosare. Diferența foarte mare dintre numărul cererilor și numărul dosarelor aflate pe lista de priorități arată că procedura este deja greu de parcurs. Cerințele birocratice, actualizarea anuală, clasarea dosarelor și pierderea vechimii pot exclude persoane care au o nevoie locativă reală. Din acest motiv, lista de priorități nu reflectă în mod necesar dimensiunea reală a nevoii de locuințe sociale.</w:t>
      </w:r>
    </w:p>
    <w:p w14:paraId="774638F4" w14:textId="77777777" w:rsidR="00C2087C" w:rsidRDefault="00C2087C" w:rsidP="00C2087C">
      <w:pP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În loc să simplifice accesul și să crească fondul de locuințe sociale, proiectul introduce noi condiții de eligibilitate și noi situații de excludere. Există riscul ca lipsa locuințelor sociale să fie „rezolvată” administrativ, prin eliminarea dosarelor, nu prin creșterea numărului de locuințe sociale.</w:t>
      </w:r>
    </w:p>
    <w:p w14:paraId="5C03ECAA" w14:textId="77777777" w:rsidR="00C2087C" w:rsidRDefault="00C2087C" w:rsidP="00C2087C">
      <w:pPr>
        <w:jc w:val="both"/>
        <w:rPr>
          <w:rFonts w:ascii="Times New Roman" w:eastAsia="Times New Roman" w:hAnsi="Times New Roman" w:cs="Times New Roman"/>
          <w:color w:val="212529"/>
          <w:sz w:val="24"/>
          <w:szCs w:val="24"/>
        </w:rPr>
      </w:pPr>
    </w:p>
    <w:p w14:paraId="1D9B11B2"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2. Criteriile propuse sancționează efectele sărăciei</w:t>
      </w:r>
    </w:p>
    <w:p w14:paraId="6102AEA2" w14:textId="77777777" w:rsidR="00C2087C" w:rsidRDefault="00C2087C" w:rsidP="00C2087C">
      <w:pPr>
        <w:jc w:val="both"/>
        <w:rPr>
          <w:rFonts w:ascii="Times New Roman" w:eastAsia="Times New Roman" w:hAnsi="Times New Roman" w:cs="Times New Roman"/>
          <w:color w:val="212529"/>
          <w:sz w:val="24"/>
          <w:szCs w:val="24"/>
        </w:rPr>
      </w:pPr>
    </w:p>
    <w:p w14:paraId="3EF255F1"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Documentul este construit mai degrabă într-o logică de suspiciune și sancționare decât în spiritul protecției sociale. Nu sunt luate suficient în calcul situațiile reale cu care se confruntă persoanele vulnerabile: venituri instabile, datorii, lipsa documentelor, ocuparea informală a unei locuințe sau dificultatea de a actualiza anual un dosar foarte complex. Un exemplu este excluderea persoanelor care au datorii la bugetul de stat sau la bugetul local, până la achitarea integrală. O asemenea condiție îi afectează chiar pe cei aflați într-o situație financiară gravă și transformă sărăcia într-un motiv suplimentar de neeligibilitate - fiind și o măsură de criminalizare a sărăciei, care contravine rezoluțiilor Consiliului Economic și Social al Națiunilor Unite 43/14 și 55/11. În aceeași logică se înscriu excluderea persoanelor evacuate anterior pentru neplata chiriei, clasarea automată a dosarelor neactualizate, pierderea vechimii cererii și scăderea a 15 puncte persoanelor care ocupă fără forme legale o locuință din fondul locativ de stat. În forma actuală, proiectul ajunge să sancționeze oamenii tocmai pentru vulnerabilitățile în care se află.</w:t>
      </w:r>
    </w:p>
    <w:p w14:paraId="71D7D743" w14:textId="77777777" w:rsidR="00C2087C" w:rsidRDefault="00C2087C" w:rsidP="00C2087C">
      <w:pPr>
        <w:ind w:firstLine="720"/>
        <w:jc w:val="both"/>
        <w:rPr>
          <w:rFonts w:ascii="Times New Roman" w:eastAsia="Times New Roman" w:hAnsi="Times New Roman" w:cs="Times New Roman"/>
          <w:color w:val="212529"/>
          <w:sz w:val="24"/>
          <w:szCs w:val="24"/>
        </w:rPr>
      </w:pPr>
    </w:p>
    <w:p w14:paraId="006A27F2"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3. Proiectul nu este construit în acord cu dreptul la locuire și cu principiile protecției sociale</w:t>
      </w:r>
    </w:p>
    <w:p w14:paraId="038B131C" w14:textId="77777777" w:rsidR="00C2087C" w:rsidRDefault="00C2087C" w:rsidP="00C2087C">
      <w:pPr>
        <w:jc w:val="both"/>
        <w:rPr>
          <w:rFonts w:ascii="Times New Roman" w:eastAsia="Times New Roman" w:hAnsi="Times New Roman" w:cs="Times New Roman"/>
          <w:b/>
          <w:bCs/>
          <w:color w:val="212529"/>
          <w:sz w:val="24"/>
          <w:szCs w:val="24"/>
        </w:rPr>
      </w:pPr>
    </w:p>
    <w:p w14:paraId="0968C263"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Dreptul la o locuință adecvată este recunoscut la nivel internațional ca parte a dreptului la un nivel de trai adecvat. Constituția stabilește că România este stat social, iar Legea locuinței definește locuința socială ca fiind destinată persoanelor și familiilor care nu își pot permite accesul la o locuință în condițiile pieței. Regulamentul ar trebui, prin urmare, să sprijine accesul la locuire și ieșirea din vulnerabilitate. În forma propusă, documentul este construit în principal în jurul excluderii, chiar și pentru situații care sunt ele însele consecințe ale sărăciei.</w:t>
      </w:r>
    </w:p>
    <w:p w14:paraId="12F60B32"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De asemenea, proiectul nu este suficient corelat cu Strategia națională a locuirii pentru perioada 2022–2050, aprobată prin HG nr. 842/2022, și nici cu principiile prevăzute de Normele metodologice de aplicare a Legii locuinței: prevenirea și combaterea sărăciei, </w:t>
      </w:r>
      <w:r>
        <w:rPr>
          <w:rFonts w:ascii="Times New Roman" w:eastAsia="Times New Roman" w:hAnsi="Times New Roman" w:cs="Times New Roman"/>
          <w:color w:val="212529"/>
          <w:sz w:val="24"/>
          <w:szCs w:val="24"/>
        </w:rPr>
        <w:lastRenderedPageBreak/>
        <w:t>prevenirea excluziunii sociale și a segregării, nediscriminarea și egalitatea de șanse. Autoritățile locale au competența de a stabili criterii de prioritizare a solicitanților, cu respectarea Legii locuinței. Această competență nu permite însă introducerea, prin regulament local, a unor noi condiții eliminatorii care restrâng accesul prevăzut de lege sau extind situațiile în care o persoană nu poate beneficia de locuință socială</w:t>
      </w:r>
    </w:p>
    <w:p w14:paraId="04182C5B" w14:textId="77777777" w:rsidR="00C2087C" w:rsidRDefault="00C2087C" w:rsidP="00C2087C">
      <w:pPr>
        <w:ind w:firstLine="720"/>
        <w:jc w:val="both"/>
        <w:rPr>
          <w:rFonts w:ascii="Times New Roman" w:eastAsia="Times New Roman" w:hAnsi="Times New Roman" w:cs="Times New Roman"/>
          <w:color w:val="212529"/>
          <w:sz w:val="24"/>
          <w:szCs w:val="24"/>
        </w:rPr>
      </w:pPr>
    </w:p>
    <w:p w14:paraId="2E6A44A8"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4. Există probleme de legalitate</w:t>
      </w:r>
    </w:p>
    <w:p w14:paraId="3DD8A366" w14:textId="77777777" w:rsidR="00C2087C" w:rsidRDefault="00C2087C" w:rsidP="00C2087C">
      <w:pPr>
        <w:jc w:val="both"/>
        <w:rPr>
          <w:rFonts w:ascii="Times New Roman" w:eastAsia="Times New Roman" w:hAnsi="Times New Roman" w:cs="Times New Roman"/>
          <w:b/>
          <w:bCs/>
          <w:color w:val="212529"/>
          <w:sz w:val="24"/>
          <w:szCs w:val="24"/>
        </w:rPr>
      </w:pPr>
    </w:p>
    <w:p w14:paraId="3B015F37"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Unele dispoziții trebuie verificate și corelate cu legislația în vigoare. De exemplu, regulamentul prevede constituirea Comisiei de analiză a locuințelor sociale prin dispoziție de primar, în timp ce Normele metodologice prevăd constituirea comisiei prin hotărâre a consiliului local.</w:t>
      </w:r>
    </w:p>
    <w:p w14:paraId="3EAE8EAE" w14:textId="77777777" w:rsidR="00C2087C" w:rsidRDefault="00C2087C" w:rsidP="00C2087C">
      <w:pPr>
        <w:jc w:val="both"/>
        <w:rPr>
          <w:rFonts w:ascii="Times New Roman" w:eastAsia="Times New Roman" w:hAnsi="Times New Roman" w:cs="Times New Roman"/>
          <w:color w:val="212529"/>
          <w:sz w:val="24"/>
          <w:szCs w:val="24"/>
        </w:rPr>
      </w:pPr>
    </w:p>
    <w:p w14:paraId="49A490E9"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5. Locuințele convenabile sunt tratate în principal ca o resursă economică</w:t>
      </w:r>
    </w:p>
    <w:p w14:paraId="49582378" w14:textId="77777777" w:rsidR="00C2087C" w:rsidRDefault="00C2087C" w:rsidP="00C2087C">
      <w:pPr>
        <w:jc w:val="both"/>
        <w:rPr>
          <w:rFonts w:ascii="Times New Roman" w:eastAsia="Times New Roman" w:hAnsi="Times New Roman" w:cs="Times New Roman"/>
          <w:color w:val="212529"/>
          <w:sz w:val="24"/>
          <w:szCs w:val="24"/>
        </w:rPr>
      </w:pPr>
    </w:p>
    <w:p w14:paraId="555590DA"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În condițiile în care fondul de locuințe sociale este extrem de redus, proiectul nu urmărește folosirea prioritară a locuințelor convenabile pentru a răspunde nevoii sociale. Pentru o parte dintre acestea este prevăzută închirierea prin licitație publică. În cazul locuințelor aflate în proprietatea privată a statului român este prevăzută, pentru moment, o procedură apropiată de cea aplicabilă locuințelor sociale. Totuși, nu este suficient de clar care va fi regimul lor pe termen lung și dacă acestea vor fi trecute în proprietatea Municipiului București, pentru a fi ulterior închiriate prin licitație. Orice procedură ulterioară trebuie stabilită transparent și aprobată de CGMB, nu lăsată unei metodologii interne. În același timp, locuințele convenabile apte de locuire și neafectate de litigii sau revendicări ar trebui analizate în vederea schimbării destinației și includerii lor în fondul de locuințe sociale. Prioritatea administrației ar trebui să fie acoperirea nevoii locative, nu obținerea unor venituri prin licitație.</w:t>
      </w:r>
    </w:p>
    <w:p w14:paraId="4EA2E85E" w14:textId="77777777" w:rsidR="00C2087C" w:rsidRDefault="00C2087C" w:rsidP="00C2087C">
      <w:pPr>
        <w:jc w:val="both"/>
        <w:rPr>
          <w:rFonts w:ascii="Times New Roman" w:eastAsia="Times New Roman" w:hAnsi="Times New Roman" w:cs="Times New Roman"/>
          <w:color w:val="212529"/>
          <w:sz w:val="24"/>
          <w:szCs w:val="24"/>
        </w:rPr>
      </w:pPr>
    </w:p>
    <w:p w14:paraId="5AB92A93"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6. Riscul evacuărilor fără protecție socială adecvată</w:t>
      </w:r>
    </w:p>
    <w:p w14:paraId="0CA32DBC" w14:textId="77777777" w:rsidR="00C2087C" w:rsidRDefault="00C2087C" w:rsidP="00C2087C">
      <w:pPr>
        <w:jc w:val="both"/>
        <w:rPr>
          <w:rFonts w:ascii="Times New Roman" w:eastAsia="Times New Roman" w:hAnsi="Times New Roman" w:cs="Times New Roman"/>
          <w:b/>
          <w:bCs/>
          <w:color w:val="212529"/>
          <w:sz w:val="24"/>
          <w:szCs w:val="24"/>
        </w:rPr>
      </w:pPr>
    </w:p>
    <w:p w14:paraId="6B1E4116"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Proiectul introduce în mod repetat posibilitatea evacuării persoanelor care locuiesc în locuințe convenabile sau în spații ocupate fără forme legale, fără să prevadă în mod clar ce se întâmplă cu aceste persoane după evacuare. În realitate, în multe dintre aceste spații locuiesc de ani de zile persoane și familii vulnerabile, inclusiv în situații în care contractele nu au mai fost prelungite de AFI. Evacuarea este tratată ca o operațiune de eliberare a fondului locativ fără garantarea unei alternative. Regulamentul trebuie să prevadă, înaintea oricărei evacuări: evaluarea socială individuală, identificarea copiilor, persoanelor cu dizabilități, vârstnicilor și a altor persoane vulnerabile, sprijin din partea serviciilor sociale, identificarea unei alternative locative reale, măsuri pentru prevenirea lipsei de adăpost. Nicio persoană sau familie vulnerabilă nu ar trebui evacuată fără identificarea prealabilă a unei alternative reale de locuire. Aceleași garanții sunt necesare și pentru dependințele și anexele prevăzute în Capitolul VI. Deși proiectul le tratează ca spații libere, în unele boxe, magazii, pivnițe sau alte dependințe locuiesc persoane și familii, uneori de foarte mult timp și în lipsa oricărei alternative.</w:t>
      </w:r>
    </w:p>
    <w:p w14:paraId="02B3E740" w14:textId="77777777" w:rsidR="00C2087C" w:rsidRDefault="00C2087C" w:rsidP="00C2087C">
      <w:pPr>
        <w:ind w:firstLine="720"/>
        <w:jc w:val="both"/>
        <w:rPr>
          <w:rFonts w:ascii="Times New Roman" w:eastAsia="Times New Roman" w:hAnsi="Times New Roman" w:cs="Times New Roman"/>
          <w:color w:val="212529"/>
          <w:sz w:val="24"/>
          <w:szCs w:val="24"/>
        </w:rPr>
      </w:pPr>
    </w:p>
    <w:p w14:paraId="4ABB3846"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7. Clauzele contractelor de închiriere sunt excesiv de restrictive</w:t>
      </w:r>
    </w:p>
    <w:p w14:paraId="0B6AADDA" w14:textId="77777777" w:rsidR="00C2087C" w:rsidRDefault="00C2087C" w:rsidP="00C2087C">
      <w:pPr>
        <w:jc w:val="both"/>
        <w:rPr>
          <w:rFonts w:ascii="Times New Roman" w:eastAsia="Times New Roman" w:hAnsi="Times New Roman" w:cs="Times New Roman"/>
          <w:b/>
          <w:bCs/>
          <w:color w:val="212529"/>
          <w:sz w:val="24"/>
          <w:szCs w:val="24"/>
        </w:rPr>
      </w:pPr>
    </w:p>
    <w:p w14:paraId="169C3534"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Proiectul prevede rezilierea contractului pentru situații care pot apărea tocmai din cauza vulnerabilității economice sau administrative a chiriașului. De exemplu, neplata chiriei și a utilităților timp de două luni consecutive poate atrage rezilierea contractului. De asemenea, informațiile incomplete sau necomunicarea în termen a unor modificări privind veniturile, locul de muncă ori componența familiei pot conduce la încetarea raportului contractual. Regulamentul ar trebui să prevadă notificarea prealabilă, un termen rezonabil de remediere, sprijin din partea serviciilor sociale și analiza individuală a fiecărui caz. Rezilierea și evacuarea trebuie să fie măsuri de ultimă instanță, nu sancțiuni automate.</w:t>
      </w:r>
    </w:p>
    <w:p w14:paraId="01B1B76E" w14:textId="77777777" w:rsidR="00C2087C" w:rsidRDefault="00C2087C" w:rsidP="00C2087C">
      <w:pP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Mai mult, verificarea acestor documente anual (în afara celor legate de venituri) contravine Legii Locuinței care prevede realizarea contractelor pentru un termen de 5 ani, transformând astfel contractul de închiriere pentru o locuință socială într-un contract nesigur, ceea ce afectează în primul rând familiile cu copii de vârstă școlară.</w:t>
      </w:r>
    </w:p>
    <w:p w14:paraId="19D69888" w14:textId="77777777" w:rsidR="00C2087C" w:rsidRDefault="00C2087C" w:rsidP="00C2087C">
      <w:pPr>
        <w:jc w:val="both"/>
        <w:rPr>
          <w:rFonts w:ascii="Times New Roman" w:eastAsia="Times New Roman" w:hAnsi="Times New Roman" w:cs="Times New Roman"/>
          <w:color w:val="212529"/>
          <w:sz w:val="24"/>
          <w:szCs w:val="24"/>
        </w:rPr>
      </w:pPr>
    </w:p>
    <w:p w14:paraId="58A65B45" w14:textId="77777777" w:rsidR="00C2087C" w:rsidRDefault="00C2087C" w:rsidP="00C2087C">
      <w:pPr>
        <w:jc w:val="both"/>
        <w:rPr>
          <w:rFonts w:ascii="Times New Roman" w:eastAsia="Times New Roman" w:hAnsi="Times New Roman" w:cs="Times New Roman"/>
          <w:b/>
          <w:bCs/>
          <w:color w:val="212529"/>
          <w:sz w:val="24"/>
          <w:szCs w:val="24"/>
        </w:rPr>
      </w:pPr>
      <w:r>
        <w:rPr>
          <w:rFonts w:ascii="Times New Roman" w:eastAsia="Times New Roman" w:hAnsi="Times New Roman" w:cs="Times New Roman"/>
          <w:b/>
          <w:bCs/>
          <w:color w:val="212529"/>
          <w:sz w:val="24"/>
          <w:szCs w:val="24"/>
        </w:rPr>
        <w:t>8. Este necesară debirocratizarea procedurii</w:t>
      </w:r>
    </w:p>
    <w:p w14:paraId="010849F3" w14:textId="77777777" w:rsidR="00C2087C" w:rsidRDefault="00C2087C" w:rsidP="00C2087C">
      <w:pPr>
        <w:jc w:val="both"/>
        <w:rPr>
          <w:rFonts w:ascii="Times New Roman" w:eastAsia="Times New Roman" w:hAnsi="Times New Roman" w:cs="Times New Roman"/>
          <w:b/>
          <w:bCs/>
          <w:color w:val="212529"/>
          <w:sz w:val="24"/>
          <w:szCs w:val="24"/>
        </w:rPr>
      </w:pPr>
    </w:p>
    <w:p w14:paraId="3609A7A0"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Regulamentul solicită numeroase documente emise de instituții publice: adeverințe fiscale, informații despre domiciliile anterioare, venituri și prestații sociale. Obținerea repetată a acestor documente nu ar trebui pusă în sarcina solicitantului atunci când informațiile pot fi obținute direct de PMB din registre publice sau prin colaborare interinstituțională. Anexele privind documentele necesare trebuie revizuite astfel încât solicitantul să depună numai actele care nu pot fi obținute de administrație. În caz contrar, birocrația excesivă va continua să ducă la dosare incomplete, clasări și pierderea vechimii, afectând în special persoanele vulnerabile.</w:t>
      </w:r>
    </w:p>
    <w:p w14:paraId="2B706F62" w14:textId="77777777" w:rsidR="00C2087C" w:rsidRDefault="00C2087C" w:rsidP="00C2087C">
      <w:pPr>
        <w:jc w:val="both"/>
        <w:rPr>
          <w:rFonts w:ascii="Times New Roman" w:eastAsia="Times New Roman" w:hAnsi="Times New Roman" w:cs="Times New Roman"/>
          <w:color w:val="212529"/>
          <w:sz w:val="24"/>
          <w:szCs w:val="24"/>
        </w:rPr>
      </w:pPr>
    </w:p>
    <w:p w14:paraId="136DC1C5" w14:textId="77777777" w:rsidR="00C2087C" w:rsidRDefault="00C2087C" w:rsidP="00C2087C">
      <w:pPr>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În forma actuală, proiectul riscă să îngreuneze și mai mult accesul la locuințe sociale și să lase fără sprijin persoane care se află deja în situații dificile. Din acest motiv, considerăm că regulamentul trebuie revizuit astfel încât să pună în centru dreptul la locuire și obligația administrației publice locale de a asigura acest drept.</w:t>
      </w:r>
    </w:p>
    <w:p w14:paraId="74AF5AC2" w14:textId="77777777" w:rsidR="00C2087C" w:rsidRDefault="00C2087C" w:rsidP="00C2087C">
      <w:pPr>
        <w:ind w:firstLine="720"/>
        <w:jc w:val="both"/>
        <w:rPr>
          <w:rFonts w:ascii="Times New Roman" w:eastAsia="Times New Roman" w:hAnsi="Times New Roman" w:cs="Times New Roman"/>
          <w:color w:val="212529"/>
          <w:sz w:val="24"/>
          <w:szCs w:val="24"/>
        </w:rPr>
      </w:pPr>
    </w:p>
    <w:p w14:paraId="0639CD86" w14:textId="77777777" w:rsidR="00C2087C" w:rsidRDefault="00C2087C" w:rsidP="00C2087C">
      <w:pPr>
        <w:jc w:val="right"/>
        <w:rPr>
          <w:rFonts w:ascii="Times New Roman" w:eastAsia="Times New Roman" w:hAnsi="Times New Roman" w:cs="Times New Roman"/>
          <w:b/>
          <w:bCs/>
          <w:sz w:val="24"/>
          <w:szCs w:val="24"/>
        </w:rPr>
      </w:pPr>
      <w:r>
        <w:rPr>
          <w:rFonts w:ascii="Times New Roman" w:eastAsia="Times New Roman" w:hAnsi="Times New Roman" w:cs="Times New Roman"/>
          <w:b/>
          <w:bCs/>
          <w:color w:val="212529"/>
          <w:sz w:val="24"/>
          <w:szCs w:val="24"/>
        </w:rPr>
        <w:t>Echipa Frontul Comun pentru Dreptul la Locuire</w:t>
      </w:r>
      <w:r>
        <w:rPr>
          <w:rFonts w:ascii="Times New Roman" w:eastAsia="Times New Roman" w:hAnsi="Times New Roman" w:cs="Times New Roman"/>
          <w:b/>
          <w:bCs/>
          <w:sz w:val="24"/>
          <w:szCs w:val="24"/>
        </w:rPr>
        <w:t xml:space="preserve"> </w:t>
      </w:r>
    </w:p>
    <w:p w14:paraId="728E49B2" w14:textId="77777777" w:rsidR="00C2087C" w:rsidRDefault="00C2087C" w:rsidP="00C2087C">
      <w:pPr>
        <w:jc w:val="right"/>
        <w:rPr>
          <w:rFonts w:ascii="Times New Roman" w:eastAsia="Times New Roman" w:hAnsi="Times New Roman" w:cs="Times New Roman"/>
          <w:b/>
          <w:bCs/>
          <w:sz w:val="24"/>
          <w:szCs w:val="24"/>
        </w:rPr>
      </w:pPr>
    </w:p>
    <w:p w14:paraId="57AE1E75" w14:textId="77777777" w:rsidR="00C2087C" w:rsidRDefault="00C2087C" w:rsidP="00C2087C">
      <w:pPr>
        <w:rPr>
          <w:rFonts w:ascii="Times New Roman" w:eastAsia="Times New Roman" w:hAnsi="Times New Roman" w:cs="Times New Roman"/>
          <w:b/>
          <w:bCs/>
          <w:sz w:val="24"/>
          <w:szCs w:val="24"/>
        </w:rPr>
      </w:pPr>
    </w:p>
    <w:p w14:paraId="4DD364D1" w14:textId="77777777" w:rsidR="00C2087C" w:rsidRDefault="00C2087C" w:rsidP="00C2087C">
      <w:pPr>
        <w:rPr>
          <w:rFonts w:ascii="Times New Roman" w:eastAsia="Times New Roman" w:hAnsi="Times New Roman" w:cs="Times New Roman"/>
          <w:b/>
          <w:bCs/>
          <w:sz w:val="24"/>
          <w:szCs w:val="24"/>
        </w:rPr>
      </w:pPr>
    </w:p>
    <w:p w14:paraId="41CF787F" w14:textId="77777777" w:rsidR="00C2087C" w:rsidRDefault="00C2087C" w:rsidP="00C2087C">
      <w:pPr>
        <w:rPr>
          <w:rFonts w:ascii="Times New Roman" w:eastAsia="Times New Roman" w:hAnsi="Times New Roman" w:cs="Times New Roman"/>
          <w:b/>
          <w:bCs/>
          <w:sz w:val="24"/>
          <w:szCs w:val="24"/>
        </w:rPr>
      </w:pPr>
    </w:p>
    <w:p w14:paraId="439E474C" w14:textId="77777777" w:rsidR="001E7ADF" w:rsidRDefault="001E7ADF"/>
    <w:sectPr w:rsidR="001E7ADF" w:rsidSect="00C2087C">
      <w:footerReference w:type="default" r:id="rId2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806B" w14:textId="77777777" w:rsidR="00C2087C" w:rsidRDefault="00C2087C">
    <w:pPr>
      <w:jc w:val="right"/>
    </w:pPr>
    <w:r>
      <w:fldChar w:fldCharType="begin"/>
    </w:r>
    <w:r>
      <w:instrText>PAGE</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BB"/>
    <w:rsid w:val="000954E8"/>
    <w:rsid w:val="001E7ADF"/>
    <w:rsid w:val="002175BB"/>
    <w:rsid w:val="006770B3"/>
    <w:rsid w:val="00B63665"/>
    <w:rsid w:val="00C2087C"/>
    <w:rsid w:val="00CF4EC7"/>
    <w:rsid w:val="00F12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14C00"/>
  <w15:chartTrackingRefBased/>
  <w15:docId w15:val="{FBCEE3F7-2CB4-4FC2-945C-0FED7808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87C"/>
    <w:pPr>
      <w:spacing w:after="0" w:line="276" w:lineRule="auto"/>
    </w:pPr>
    <w:rPr>
      <w:rFonts w:ascii="Arial" w:eastAsia="Arial" w:hAnsi="Arial" w:cs="Arial"/>
      <w:kern w:val="0"/>
      <w:lang w:val="ro"/>
      <w14:ligatures w14:val="none"/>
    </w:rPr>
  </w:style>
  <w:style w:type="paragraph" w:styleId="Heading1">
    <w:name w:val="heading 1"/>
    <w:basedOn w:val="Normal"/>
    <w:next w:val="Normal"/>
    <w:link w:val="Heading1Char"/>
    <w:uiPriority w:val="9"/>
    <w:qFormat/>
    <w:rsid w:val="002175B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2175B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2175B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2175BB"/>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2175BB"/>
    <w:pPr>
      <w:keepNext/>
      <w:keepLines/>
      <w:spacing w:before="80" w:after="40" w:line="259" w:lineRule="auto"/>
      <w:outlineLvl w:val="4"/>
    </w:pPr>
    <w:rPr>
      <w:rFonts w:asciiTheme="minorHAnsi" w:eastAsiaTheme="majorEastAsia" w:hAnsiTheme="minorHAnsi"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2175BB"/>
    <w:pPr>
      <w:keepNext/>
      <w:keepLines/>
      <w:spacing w:before="40" w:line="259"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2175BB"/>
    <w:pPr>
      <w:keepNext/>
      <w:keepLines/>
      <w:spacing w:before="40" w:line="259" w:lineRule="auto"/>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2175BB"/>
    <w:pPr>
      <w:keepNext/>
      <w:keepLines/>
      <w:spacing w:line="259"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2175BB"/>
    <w:pPr>
      <w:keepNext/>
      <w:keepLines/>
      <w:spacing w:line="259" w:lineRule="auto"/>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5BB"/>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2175BB"/>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2175BB"/>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2175BB"/>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2175BB"/>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2175B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175B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175B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175B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175BB"/>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2175B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175B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175B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175BB"/>
    <w:pPr>
      <w:spacing w:before="160" w:after="160" w:line="259" w:lineRule="auto"/>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2175BB"/>
    <w:rPr>
      <w:i/>
      <w:iCs/>
      <w:color w:val="404040" w:themeColor="text1" w:themeTint="BF"/>
      <w:lang w:val="en-GB"/>
    </w:rPr>
  </w:style>
  <w:style w:type="paragraph" w:styleId="ListParagraph">
    <w:name w:val="List Paragraph"/>
    <w:basedOn w:val="Normal"/>
    <w:uiPriority w:val="34"/>
    <w:qFormat/>
    <w:rsid w:val="002175BB"/>
    <w:pPr>
      <w:spacing w:after="160" w:line="259" w:lineRule="auto"/>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2175BB"/>
    <w:rPr>
      <w:i/>
      <w:iCs/>
      <w:color w:val="2F5496" w:themeColor="accent1" w:themeShade="BF"/>
    </w:rPr>
  </w:style>
  <w:style w:type="paragraph" w:styleId="IntenseQuote">
    <w:name w:val="Intense Quote"/>
    <w:basedOn w:val="Normal"/>
    <w:next w:val="Normal"/>
    <w:link w:val="IntenseQuoteChar"/>
    <w:uiPriority w:val="30"/>
    <w:qFormat/>
    <w:rsid w:val="002175B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2175BB"/>
    <w:rPr>
      <w:i/>
      <w:iCs/>
      <w:color w:val="2F5496" w:themeColor="accent1" w:themeShade="BF"/>
      <w:lang w:val="en-GB"/>
    </w:rPr>
  </w:style>
  <w:style w:type="character" w:styleId="IntenseReference">
    <w:name w:val="Intense Reference"/>
    <w:basedOn w:val="DefaultParagraphFont"/>
    <w:uiPriority w:val="32"/>
    <w:qFormat/>
    <w:rsid w:val="002175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16610" TargetMode="External"/><Relationship Id="rId13" Type="http://schemas.openxmlformats.org/officeDocument/2006/relationships/hyperlink" Target="https://www.cncd.ro/wp-content/uploads/2020/12/hotarare-511-16.pdf" TargetMode="External"/><Relationship Id="rId18" Type="http://schemas.openxmlformats.org/officeDocument/2006/relationships/hyperlink" Target="https://legislatie.just.ro/Public/DetaliiDocument/297064" TargetMode="External"/><Relationship Id="rId26" Type="http://schemas.openxmlformats.org/officeDocument/2006/relationships/hyperlink" Target="https://frontulcomun.ro/raport-cu-privire-la-conditionarea-beneficiilor-de-asistenta-sociala/" TargetMode="External"/><Relationship Id="rId3" Type="http://schemas.openxmlformats.org/officeDocument/2006/relationships/webSettings" Target="webSettings.xml"/><Relationship Id="rId21" Type="http://schemas.openxmlformats.org/officeDocument/2006/relationships/hyperlink" Target="https://2covenants.ohchr.org/About-ICESCR.html" TargetMode="External"/><Relationship Id="rId7" Type="http://schemas.openxmlformats.org/officeDocument/2006/relationships/hyperlink" Target="https://legislatie.just.ro/Public/DetaliiDocument/228297" TargetMode="External"/><Relationship Id="rId12" Type="http://schemas.openxmlformats.org/officeDocument/2006/relationships/hyperlink" Target="https://www.scj.ro/1093/Detalii-jurisprudenta?customQuery%5B0%5D.Key=id&amp;customQuery%5B0%5D.Value=178880" TargetMode="External"/><Relationship Id="rId17" Type="http://schemas.openxmlformats.org/officeDocument/2006/relationships/hyperlink" Target="https://legislatie.just.ro/Public/FormaPrintabila/00000G29TM69H17RNW027Q7I5B28805U" TargetMode="External"/><Relationship Id="rId25" Type="http://schemas.openxmlformats.org/officeDocument/2006/relationships/hyperlink" Target="https://www.crj.ro/studiul-accesul-la-locuinte-sociale-si-nediscriminarea/" TargetMode="External"/><Relationship Id="rId2" Type="http://schemas.openxmlformats.org/officeDocument/2006/relationships/settings" Target="settings.xml"/><Relationship Id="rId16" Type="http://schemas.openxmlformats.org/officeDocument/2006/relationships/hyperlink" Target="https://legislatie.just.ro/Public/DetaliiDocument/256917" TargetMode="External"/><Relationship Id="rId20" Type="http://schemas.openxmlformats.org/officeDocument/2006/relationships/hyperlink" Target="https://www.dgas.ro/planul-anual-de-actiune-privind-serviciile-sociale-administrate-si-finantate-de-consiliul-general-al-municipiului-bucuresti-pentru-anul-2026/"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islatie.just.ro/Public/DetaliiDocument/202845" TargetMode="External"/><Relationship Id="rId11" Type="http://schemas.openxmlformats.org/officeDocument/2006/relationships/hyperlink" Target="https://www.cncd.ro/wp-content/uploads/2020/12/Hotarare-156-18.pdf" TargetMode="External"/><Relationship Id="rId24" Type="http://schemas.openxmlformats.org/officeDocument/2006/relationships/hyperlink" Target="https://www.crj.ro/criterii-discriminatorii-si-locuintele-sociale-studiu/" TargetMode="External"/><Relationship Id="rId5" Type="http://schemas.openxmlformats.org/officeDocument/2006/relationships/hyperlink" Target="https://legislatie.just.ro/Public/DetaliiDocument/25823" TargetMode="External"/><Relationship Id="rId15" Type="http://schemas.openxmlformats.org/officeDocument/2006/relationships/hyperlink" Target="https://www.cncd.ro/wp-content/uploads/2020/12/hotarare-531-17.pdf" TargetMode="External"/><Relationship Id="rId23" Type="http://schemas.openxmlformats.org/officeDocument/2006/relationships/hyperlink" Target="https://tbinternet.ohchr.org/_layouts/15/treatybodyexternal/TBSearch.aspx?DocTypeID=11&amp;Lang=en&amp;TreatyID=9" TargetMode="External"/><Relationship Id="rId28" Type="http://schemas.openxmlformats.org/officeDocument/2006/relationships/fontTable" Target="fontTable.xml"/><Relationship Id="rId10" Type="http://schemas.openxmlformats.org/officeDocument/2006/relationships/hyperlink" Target="https://legislatie.just.ro/Public/DetaliiDocument/17739" TargetMode="External"/><Relationship Id="rId19" Type="http://schemas.openxmlformats.org/officeDocument/2006/relationships/hyperlink" Target="https://www.dgas.ro/despre-noi/strategii-locale/" TargetMode="External"/><Relationship Id="rId4" Type="http://schemas.openxmlformats.org/officeDocument/2006/relationships/hyperlink" Target="https://legislatie.just.ro/Public/DetaliiDocument/8601" TargetMode="External"/><Relationship Id="rId9" Type="http://schemas.openxmlformats.org/officeDocument/2006/relationships/hyperlink" Target="https://legislatie.just.ro/Public/DetaliiDocument/179586" TargetMode="External"/><Relationship Id="rId14" Type="http://schemas.openxmlformats.org/officeDocument/2006/relationships/hyperlink" Target="https://www.scj.ro/1093/Detalii-jurisprudenta?customQuery%5B0%5D.Key=id&amp;customQuery%5B0%5D.Value=180407" TargetMode="External"/><Relationship Id="rId22" Type="http://schemas.openxmlformats.org/officeDocument/2006/relationships/hyperlink" Target="https://docstore.ohchr.org/SelfServices/FilesHandler.ashx?enc=Qt4oCT%2FKEZOJcKU6mEBofty6gTl%2B49szF3vPCQJhnKZevAbxjQTfB%2BZDrzCC8S3y7jCovmkMgqOPXuXXt9m%2FkA%3D%3D" TargetMode="External"/><Relationship Id="rId27"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3124</Words>
  <Characters>17812</Characters>
  <Application>Microsoft Office Word</Application>
  <DocSecurity>0</DocSecurity>
  <Lines>148</Lines>
  <Paragraphs>41</Paragraphs>
  <ScaleCrop>false</ScaleCrop>
  <Company/>
  <LinksUpToDate>false</LinksUpToDate>
  <CharactersWithSpaces>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Iox</dc:creator>
  <cp:keywords/>
  <dc:description/>
  <cp:lastModifiedBy>Iox</cp:lastModifiedBy>
  <cp:revision>2</cp:revision>
  <dcterms:created xsi:type="dcterms:W3CDTF">2026-08-18T11:18:00Z</dcterms:created>
  <dcterms:modified xsi:type="dcterms:W3CDTF">2026-08-18T11:19:00Z</dcterms:modified>
</cp:coreProperties>
</file>